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 xml:space="preserve">附件8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公园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  <w:t>预防基孔肯雅热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蚊虫控制指引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  <w:t>一、</w:t>
      </w:r>
      <w:r>
        <w:rPr>
          <w:rFonts w:hint="default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  <w:t>孳生地系统管理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每日重点巡查公园内各类积水点，包括奇石假山凹槽、树洞、储水植物（竹头、芭蕉）叶腋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、大片落叶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等自然积水处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凹槽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树洞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及时封填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。每日清理绿化带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内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垃圾、花盆及水生植物容器积水，游乐场防撞轮胎需打孔排水或室内存放。对湖泊池塘等大型水体实施生态治理，放养食蚊鱼等灭蚊鱼种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沟渠、下水道等排水系统保持硬底化和暗渠化，沉沙井安装防蚊闸，低洼区域及时填平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  <w:t>二、</w:t>
      </w:r>
      <w:r>
        <w:rPr>
          <w:rFonts w:hint="default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  <w:t>重点区域防护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游乐设施、休息区等人员密集场所安装防蚊纱窗等物理屏障。亭台楼阁等建筑定期检查排水系统，清除屋顶反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积水。公厕、垃圾站等区域重点防控，建立每日检查制度。发现零星成蚊可使用家用杀虫剂处理，施药时做好人员疏散和通风防护。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在公共卫生间、游客休息区、办公楼周边的绿化带中，合理布防灭蚊灯击杀成蚊。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  <w:t>三、</w:t>
      </w:r>
      <w:r>
        <w:rPr>
          <w:rFonts w:hint="default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  <w:t>专业消杀实施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蚊媒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疾病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流行期或成蚊密度超标时，聘请专业公司开展消杀。对密林区采用超低容量喷雾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及热烟雾处理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，假山石洞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、下水道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等隐蔽处实施热烟雾处理。建立消杀作业档案，详细记录处理区域、用药品种及剂量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、器械使用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  <w:t>四、长效管理机制</w:t>
      </w:r>
    </w:p>
    <w:p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实行分片包干责任制，将防蚊工作纳入日常园容巡查。雨季等重点时段增加巡查频次。开展员工防蚊知识培训，通过宣传栏、标识牌等方式向游客普及防蚊常识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661E9F"/>
    <w:rsid w:val="4EAC6F5E"/>
    <w:rsid w:val="6F9A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 w:cs="Times New Roman"/>
      <w:b/>
      <w:szCs w:val="24"/>
      <w:lang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2025-03-07T07:07:00Z</dcterms:created>
  <dc:creator>admin</dc:creator>
  <cp:lastModifiedBy>LINNN000</cp:lastModifiedBy>
  <dcterms:modified xsi:type="dcterms:W3CDTF">2025-07-29T08:26:24Z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