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440" w:lineRule="exact"/>
        <w:ind w:left="0" w:leftChars="0" w:right="0" w:rightChars="0" w:firstLine="0" w:firstLineChars="0"/>
        <w:jc w:val="left"/>
        <w:textAlignment w:val="auto"/>
        <w:outlineLvl w:val="9"/>
        <w:rPr>
          <w:rFonts w:hint="default" w:ascii="黑体" w:hAnsi="黑体" w:eastAsia="黑体" w:cs="Times New Roman"/>
          <w:kern w:val="2"/>
          <w:sz w:val="32"/>
          <w:szCs w:val="32"/>
          <w:lang w:val="en-US"/>
        </w:rPr>
      </w:pPr>
      <w:r>
        <w:rPr>
          <w:rFonts w:hint="eastAsia" w:ascii="黑体" w:hAnsi="黑体" w:eastAsia="黑体" w:cs="Times New Roman"/>
          <w:kern w:val="2"/>
          <w:sz w:val="32"/>
          <w:szCs w:val="32"/>
          <w:lang w:eastAsia="zh-CN"/>
        </w:rPr>
        <w:t>附件</w:t>
      </w:r>
      <w:r>
        <w:rPr>
          <w:rFonts w:hint="eastAsia" w:ascii="黑体" w:hAnsi="黑体" w:eastAsia="黑体" w:cs="Times New Roman"/>
          <w:kern w:val="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outlineLvl w:val="9"/>
        <w:rPr>
          <w:rFonts w:hint="eastAsia" w:ascii="黑体" w:hAnsi="黑体" w:eastAsia="黑体" w:cs="Times New Roman"/>
          <w:kern w:val="2"/>
          <w:sz w:val="32"/>
          <w:szCs w:val="32"/>
        </w:rPr>
      </w:pPr>
    </w:p>
    <w:p>
      <w:pPr>
        <w:pageBreakBefore w:val="0"/>
        <w:widowControl w:val="0"/>
        <w:kinsoku/>
        <w:wordWrap/>
        <w:overflowPunct/>
        <w:topLinePunct w:val="0"/>
        <w:bidi w:val="0"/>
        <w:adjustRightInd/>
        <w:snapToGrid/>
        <w:spacing w:before="0" w:beforeLines="0" w:after="0" w:afterLines="0" w:line="500" w:lineRule="exact"/>
        <w:ind w:right="0" w:rightChars="0"/>
        <w:jc w:val="center"/>
        <w:textAlignment w:val="auto"/>
        <w:rPr>
          <w:rFonts w:hint="default" w:ascii="Times New Roman" w:hAnsi="Times New Roman" w:eastAsia="方正小标宋简体" w:cs="Times New Roman"/>
          <w:b w:val="0"/>
          <w:bCs/>
          <w:color w:val="auto"/>
          <w:kern w:val="2"/>
          <w:sz w:val="44"/>
          <w:szCs w:val="44"/>
        </w:rPr>
      </w:pPr>
      <w:r>
        <w:rPr>
          <w:rFonts w:hint="default" w:ascii="Times New Roman" w:hAnsi="Times New Roman" w:eastAsia="方正小标宋简体" w:cs="Times New Roman"/>
          <w:b w:val="0"/>
          <w:bCs/>
          <w:color w:val="auto"/>
          <w:kern w:val="2"/>
          <w:sz w:val="44"/>
          <w:szCs w:val="44"/>
        </w:rPr>
        <w:t>防鼠灭鼠工作技术指引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0" w:firstLineChars="200"/>
        <w:jc w:val="center"/>
        <w:textAlignment w:val="auto"/>
        <w:outlineLvl w:val="9"/>
        <w:rPr>
          <w:rFonts w:hint="default" w:ascii="Times New Roman" w:hAnsi="Times New Roman" w:eastAsia="方正小标宋简体" w:cs="Times New Roman"/>
          <w:b w:val="0"/>
          <w:bCs/>
          <w:color w:val="auto"/>
          <w:kern w:val="2"/>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灭鼠工作重点应放在环境治理上，清除鼠类赖以生存的食物和藏匿场所，辅以器械捕杀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同时施以必要的药物控制。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环境卫生整治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垃圾日产日清，清除鼠类赖以生存的食物；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清除不必要的杂草、低矮灌木及杂物，减少鼠类藏匿场所；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重点地区保持</w:t>
      </w:r>
      <w:r>
        <w:rPr>
          <w:rFonts w:hint="eastAsia" w:ascii="仿宋_GB2312" w:hAnsi="仿宋_GB2312" w:eastAsia="仿宋_GB2312" w:cs="仿宋_GB2312"/>
          <w:color w:val="auto"/>
          <w:kern w:val="0"/>
          <w:sz w:val="32"/>
          <w:szCs w:val="32"/>
        </w:rPr>
        <w:t>地面硬底化，并与绿地或绿篱之间保持一定距离，形成一道防鼠缓冲带，避免鼠类从隐匿处直接进入建筑物；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院内</w:t>
      </w:r>
      <w:r>
        <w:rPr>
          <w:rFonts w:hint="eastAsia" w:ascii="仿宋_GB2312" w:hAnsi="仿宋_GB2312" w:eastAsia="仿宋_GB2312" w:cs="仿宋_GB2312"/>
          <w:color w:val="auto"/>
          <w:kern w:val="0"/>
          <w:sz w:val="32"/>
          <w:szCs w:val="32"/>
        </w:rPr>
        <w:t>围墙保持完整，及时封堵、修复破损处；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封堵绿化带或围墙的鼠洞；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保持环境</w:t>
      </w:r>
      <w:r>
        <w:rPr>
          <w:rFonts w:hint="eastAsia" w:ascii="仿宋_GB2312" w:hAnsi="仿宋_GB2312" w:eastAsia="仿宋_GB2312" w:cs="仿宋_GB2312"/>
          <w:color w:val="auto"/>
          <w:kern w:val="0"/>
          <w:sz w:val="32"/>
          <w:szCs w:val="32"/>
        </w:rPr>
        <w:t>整洁，无杂物乱堆乱放；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食品密封存放。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二、完善防鼠设施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下水道口要设置稳固的金属防鼠栏栅，栏栅条间距小于1.0厘米，栏栅与下水道口边缝小于1.0厘米；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门</w:t>
      </w:r>
      <w:r>
        <w:rPr>
          <w:rFonts w:hint="eastAsia" w:ascii="仿宋_GB2312" w:hAnsi="仿宋_GB2312" w:eastAsia="仿宋_GB2312" w:cs="仿宋_GB2312"/>
          <w:color w:val="auto"/>
          <w:spacing w:val="-3"/>
          <w:kern w:val="0"/>
          <w:sz w:val="32"/>
          <w:szCs w:val="32"/>
          <w:lang w:val="en-US" w:eastAsia="zh-CN"/>
        </w:rPr>
        <w:t>具有良好的闭合性，门缝小于0.6厘米；如果粮食、食品仓库及配电房的门是木质门，其外侧下方由地面起要镶嵌30厘米高的金属片；如因地面不平而使门缝超过0.6厘米时，应加设5厘米高水泥或金属门坎，门坎与门之间的缝隙小于0.6于厘米；大型食品、粮食仓库的门外应安装60厘米高的金属防鼠闸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 xml:space="preserve">窗口具有完好密闭功能；墙上的通风口，应安装网眼直径小于1.0厘米金属防鼠网；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通上下水、煤气、电线、空调等的墙上孔洞，应封闭；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地面保持硬底化。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三、灭鼠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在宿舍、超市、配电房、垃圾收集点、食品加工销售作坊等重点场所鼠类侵入风险大的区域预防性布放毒鼠屋。依据环境复杂程度、鼠情特点设置毒鼠屋，定期观察鼠类取食情况，及时补充或更换毒饵。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灭鼠药物必须选用国家允许使用的慢性抗凝血杀鼠剂，如敌鼠钠盐、溴敌隆、大隆、杀鼠迷等。灭鼠药的选购必须到具有合法经营资格的供货单位购买。投药前必须对投药人员进行技术和安全培训。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在厨房，饭堂和住家等不方便使用药物的环境中,可适度地开展器械灭鼠，主要包括鼠笼和粘鼠胶。安放鼠笼要放在鼠类经常活动的地方，鼠笼顺鼠道方向贴墙放置；鼠笼上的诱饵要新鲜，应是鼠类爱吃的食物。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绿化带和围墙附近出现的新鲜鼠洞，可在保持安全的状态下投以熏蒸药物灭鼠并封堵。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四、加强鼠情监测</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组织或聘用</w:t>
      </w:r>
      <w:r>
        <w:rPr>
          <w:rFonts w:hint="default" w:ascii="Times New Roman" w:hAnsi="Times New Roman" w:eastAsia="仿宋_GB2312" w:cs="Times New Roman"/>
          <w:color w:val="auto"/>
          <w:kern w:val="0"/>
          <w:sz w:val="32"/>
          <w:szCs w:val="32"/>
          <w:lang w:eastAsia="zh-CN"/>
        </w:rPr>
        <w:t>专业</w:t>
      </w:r>
      <w:r>
        <w:rPr>
          <w:rFonts w:hint="default" w:ascii="Times New Roman" w:hAnsi="Times New Roman" w:eastAsia="仿宋_GB2312" w:cs="Times New Roman"/>
          <w:color w:val="auto"/>
          <w:kern w:val="0"/>
          <w:sz w:val="32"/>
          <w:szCs w:val="32"/>
        </w:rPr>
        <w:t>人员定期巡查鼠情。有鼠患的场所很容易找到鼠粪、脚爪印、尾迹、跑道、鼠洞、鼠体擦的油污和咬痕等鼠迹。鼠密度高时，白昼还能见到鼠活动。发现新鲜鼠迹，及时采取相应措施。</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br w:type="page"/>
      </w:r>
    </w:p>
    <w:p>
      <w:pPr>
        <w:spacing w:beforeLines="0" w:afterLines="0" w:line="600" w:lineRule="exact"/>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药物投放方法</w:t>
      </w:r>
    </w:p>
    <w:p>
      <w:pPr>
        <w:spacing w:beforeLines="0" w:afterLines="0" w:line="600" w:lineRule="exact"/>
        <w:jc w:val="center"/>
        <w:rPr>
          <w:rFonts w:hint="default" w:ascii="Times New Roman" w:hAnsi="Times New Roman" w:eastAsia="方正小标宋简体" w:cs="Times New Roman"/>
          <w:b w:val="0"/>
          <w:bCs/>
          <w:color w:val="auto"/>
          <w:sz w:val="36"/>
          <w:szCs w:val="36"/>
        </w:rPr>
      </w:pP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集中投药</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要按照集中投药阶段时间（雨天顺延），统一投药。每个灭鼠毒饵盒（洞）内首次投药量不得少于20-30克，鼠洞及农田酌情确定投药量。投药后每天检查一次，按照吃多少补多少，吃完加倍的原则，连续投放7天，不得间断。</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黑体" w:hAnsi="黑体" w:eastAsia="黑体" w:cs="黑体"/>
          <w:color w:val="auto"/>
          <w:sz w:val="32"/>
          <w:szCs w:val="32"/>
        </w:rPr>
      </w:pPr>
      <w:r>
        <w:rPr>
          <w:rFonts w:hint="default" w:ascii="黑体" w:hAnsi="黑体" w:eastAsia="黑体" w:cs="黑体"/>
          <w:color w:val="auto"/>
          <w:sz w:val="32"/>
          <w:szCs w:val="32"/>
        </w:rPr>
        <w:t>投药地点</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场所室内投置鼠药或放置粘鼠板以一楼和地下室为主。楼上发现有鼠迹的地方，要增加药械投放。室内按每15平方米投放1-2处鼠药或粘鼠板，以楼梯间、各类杂物库、临时建筑物、餐厅为投放药械重点；外环境投药在建筑物周围，按5-10米投放一处鼠药；垃圾箱周围及内侧靠门口处也要投放鼠药；有大片空地的按等距投饵法，即纵向距5米，横间距10米，投放10克；花坛、绿化带的四周隔5米投放10克。</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黑体" w:hAnsi="黑体" w:eastAsia="黑体" w:cs="黑体"/>
          <w:color w:val="auto"/>
          <w:kern w:val="0"/>
          <w:sz w:val="32"/>
          <w:szCs w:val="32"/>
          <w:lang w:val="en-US" w:eastAsia="zh-CN" w:bidi="ar-SA"/>
        </w:rPr>
      </w:pPr>
      <w:r>
        <w:rPr>
          <w:rFonts w:hint="default" w:ascii="黑体" w:hAnsi="黑体" w:eastAsia="黑体" w:cs="黑体"/>
          <w:color w:val="auto"/>
          <w:kern w:val="0"/>
          <w:sz w:val="32"/>
          <w:szCs w:val="32"/>
          <w:lang w:val="en-US" w:eastAsia="zh-CN" w:bidi="ar-SA"/>
        </w:rPr>
        <w:t>安全投药</w:t>
      </w:r>
    </w:p>
    <w:p>
      <w:pPr>
        <w:numPr>
          <w:ilvl w:val="0"/>
          <w:numId w:val="0"/>
        </w:numPr>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各单位、行业</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符合规定</w:t>
      </w:r>
      <w:r>
        <w:rPr>
          <w:rFonts w:hint="default" w:ascii="Times New Roman" w:hAnsi="Times New Roman" w:eastAsia="仿宋_GB2312" w:cs="Times New Roman"/>
          <w:color w:val="auto"/>
          <w:sz w:val="32"/>
          <w:szCs w:val="32"/>
        </w:rPr>
        <w:t>的药物，由专职消杀员投药。毒饵必须投放在毒饵盒（洞）内的中间位置，不得外溢；在投药处设置必要的警示标志；消杀员要经常检查鼠药的投放和灭鼠情况，按照要求做好消杀记录，严防人畜中毒。</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left"/>
        <w:textAlignment w:val="auto"/>
        <w:outlineLvl w:val="9"/>
        <w:rPr>
          <w:rFonts w:hint="default" w:ascii="黑体" w:hAnsi="黑体" w:eastAsia="黑体" w:cs="Times New Roman"/>
          <w:kern w:val="2"/>
          <w:sz w:val="32"/>
          <w:szCs w:val="32"/>
          <w:lang w:val="en-US" w:eastAsia="zh-CN"/>
        </w:rPr>
      </w:pPr>
      <w:r>
        <w:rPr>
          <w:rFonts w:hint="default" w:ascii="Times New Roman" w:hAnsi="Times New Roman" w:eastAsia="仿宋_GB2312" w:cs="Times New Roman"/>
          <w:kern w:val="0"/>
          <w:sz w:val="32"/>
          <w:szCs w:val="32"/>
        </w:rPr>
        <w:br w:type="page"/>
      </w:r>
      <w:bookmarkStart w:id="0" w:name="_GoBack"/>
      <w:bookmarkEnd w:id="0"/>
    </w:p>
    <w:p>
      <w:pPr>
        <w:spacing w:beforeLines="0" w:afterLines="0" w:line="600" w:lineRule="exact"/>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毒鼠屋的设置要领</w:t>
      </w:r>
    </w:p>
    <w:p>
      <w:pPr>
        <w:spacing w:beforeLines="0" w:afterLines="0" w:line="600" w:lineRule="exact"/>
        <w:jc w:val="center"/>
        <w:rPr>
          <w:rFonts w:hint="default" w:ascii="Times New Roman" w:hAnsi="Times New Roman" w:eastAsia="方正小标宋简体" w:cs="Times New Roman"/>
          <w:b w:val="0"/>
          <w:bCs/>
          <w:color w:val="auto"/>
          <w:sz w:val="36"/>
          <w:szCs w:val="36"/>
        </w:rPr>
      </w:pPr>
    </w:p>
    <w:p>
      <w:pPr>
        <w:spacing w:beforeLines="0" w:afterLines="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毒鼠屋的布放应规范、有效和安全。</w:t>
      </w:r>
    </w:p>
    <w:p>
      <w:pPr>
        <w:spacing w:beforeLines="0" w:afterLines="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、布放在隐蔽处。</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、毒鼠屋布放应高于地面，避免雨水浸湿鼠饵。</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、毒饵不能外露，应完全置于毒饵盒中。</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、布放毒鼠屋的地点上方应有明显的警示标志（黄色）。</w:t>
      </w:r>
    </w:p>
    <w:p>
      <w:pPr>
        <w:ind w:firstLine="560"/>
        <w:rPr>
          <w:rFonts w:hint="default" w:ascii="Times New Roman" w:hAnsi="Times New Roman" w:eastAsia="仿宋_GB2312" w:cs="Times New Roman"/>
          <w:color w:val="auto"/>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7F208B-2632-46BE-8DB7-DF52C7B95A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3A775A-7CCF-4B5D-93E7-48C7BC453BA6}"/>
  </w:font>
  <w:font w:name="方正小标宋简体">
    <w:panose1 w:val="02000000000000000000"/>
    <w:charset w:val="86"/>
    <w:family w:val="auto"/>
    <w:pitch w:val="default"/>
    <w:sig w:usb0="00000001" w:usb1="08000000" w:usb2="00000000" w:usb3="00000000" w:csb0="00040000" w:csb1="00000000"/>
    <w:embedRegular r:id="rId3" w:fontKey="{7E92E7DC-7AFE-4785-8676-B9F6E12E2E89}"/>
  </w:font>
  <w:font w:name="仿宋_GB2312">
    <w:altName w:val="仿宋"/>
    <w:panose1 w:val="00000000000000000000"/>
    <w:charset w:val="00"/>
    <w:family w:val="auto"/>
    <w:pitch w:val="default"/>
    <w:sig w:usb0="00000000" w:usb1="00000000" w:usb2="00000000" w:usb3="00000000" w:csb0="00040001" w:csb1="00000000"/>
    <w:embedRegular r:id="rId4" w:fontKey="{7106386C-CA1E-42B8-AFCC-F5BCB476D55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BA1FB"/>
    <w:multiLevelType w:val="singleLevel"/>
    <w:tmpl w:val="FE5BA1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OGQwODkyZTNiZmE3MjEzYTE4OThlYzdiYjM5YTkifQ=="/>
  </w:docVars>
  <w:rsids>
    <w:rsidRoot w:val="4A1947CF"/>
    <w:rsid w:val="4A1947CF"/>
    <w:rsid w:val="67CD2226"/>
    <w:rsid w:val="F377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memories</cp:lastModifiedBy>
  <dcterms:modified xsi:type="dcterms:W3CDTF">2024-01-17T04:29:14Z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4D8DDBF3F0FA43F36AC57765A18998CA</vt:lpwstr>
  </property>
</Properties>
</file>